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b/>
          <w:bCs/>
        </w:rPr>
      </w:pPr>
      <w:r>
        <w:rPr>
          <w:b/>
          <w:bCs/>
        </w:rPr>
        <w:t xml:space="preserve">Методика</w:t>
      </w:r>
      <w:r>
        <w:rPr>
          <w:b/>
          <w:bCs/>
        </w:rPr>
      </w:r>
      <w:r>
        <w:rPr>
          <w:b/>
          <w:bCs/>
        </w:rPr>
      </w:r>
    </w:p>
    <w:p>
      <w:pPr>
        <w:jc w:val="center"/>
        <w:rPr>
          <w:b/>
          <w:bCs/>
        </w:rPr>
      </w:pPr>
      <w:r>
        <w:rPr>
          <w:b/>
          <w:bCs/>
        </w:rPr>
        <w:t xml:space="preserve">распределения субсидий местным бюджетам на государственную поддержку муниципальных образований по строительству жилья, предоставляемого по договору найма жилого помещения в Новосибирской области г</w:t>
      </w:r>
      <w:r>
        <w:rPr>
          <w:b/>
          <w:bCs/>
        </w:rPr>
        <w:t xml:space="preserve">осударственной программы Новосибирской области «Комплексное </w:t>
      </w:r>
      <w:r>
        <w:rPr>
          <w:b/>
          <w:bCs/>
        </w:rPr>
      </w:r>
      <w:r>
        <w:rPr>
          <w:b/>
          <w:bCs/>
        </w:rPr>
      </w:r>
    </w:p>
    <w:p>
      <w:pPr>
        <w:jc w:val="center"/>
        <w:rPr>
          <w:b/>
          <w:bCs/>
        </w:rPr>
      </w:pPr>
      <w:r>
        <w:rPr>
          <w:b/>
          <w:bCs/>
        </w:rPr>
        <w:t xml:space="preserve">развитие сельских территорий в Новосибирской области»</w:t>
      </w:r>
      <w:r>
        <w:rPr>
          <w:b/>
          <w:bCs/>
        </w:rPr>
      </w:r>
      <w:r>
        <w:rPr>
          <w:b/>
          <w:bCs/>
        </w:rPr>
      </w:r>
    </w:p>
    <w:p>
      <w:pPr>
        <w:ind w:firstLine="540"/>
        <w:jc w:val="both"/>
        <w:rPr>
          <w:bCs/>
        </w:rPr>
        <w:outlineLvl w:val="0"/>
      </w:pPr>
      <w:r>
        <w:rPr>
          <w:bCs/>
        </w:rPr>
      </w:r>
      <w:r>
        <w:rPr>
          <w:bCs/>
        </w:rPr>
      </w:r>
      <w:r>
        <w:rPr>
          <w:bCs/>
        </w:rPr>
      </w:r>
    </w:p>
    <w:p>
      <w:pPr>
        <w:ind w:firstLine="540"/>
        <w:jc w:val="both"/>
        <w:rPr>
          <w:bCs/>
        </w:rPr>
      </w:pPr>
      <w:r>
        <w:rPr>
          <w:bCs/>
        </w:rPr>
        <w:t xml:space="preserve">1. </w:t>
      </w:r>
      <w:r>
        <w:rPr>
          <w:bCs/>
        </w:rPr>
        <w:t xml:space="preserve">Объем субсидий бюджету i-того муниципального образования Новосибирской области на оказание финансовой поддержки при исполнении расходных обязательств муниципальных образований по строительству</w:t>
      </w:r>
      <w:r>
        <w:rPr>
          <w:bCs/>
        </w:rPr>
        <w:t xml:space="preserve"> (приобретению)</w:t>
      </w:r>
      <w:r>
        <w:rPr>
          <w:bCs/>
        </w:rPr>
        <w:t xml:space="preserve"> жилья, предоставляемого гражданам Российской Федерации, проживающим на сельских территориях Новосибирской области (далее - участники мероприятий), по договору найма жилого помещения, определяется по формуле:</w:t>
      </w:r>
      <w:r>
        <w:rPr>
          <w:bCs/>
        </w:rPr>
      </w:r>
      <w:r>
        <w:rPr>
          <w:bCs/>
        </w:rPr>
      </w:r>
    </w:p>
    <w:p>
      <w:pPr>
        <w:ind w:firstLine="540"/>
        <w:jc w:val="both"/>
        <w:rPr>
          <w:bCs/>
        </w:rPr>
      </w:pPr>
      <w:r>
        <w:rPr>
          <w:bCs/>
        </w:rPr>
      </w:r>
      <w:r>
        <w:rPr>
          <w:bCs/>
        </w:rPr>
      </w:r>
      <w:r>
        <w:rPr>
          <w:bCs/>
        </w:rPr>
      </w:r>
    </w:p>
    <w:p>
      <w:pPr>
        <w:jc w:val="center"/>
        <w:rPr>
          <w:bCs/>
        </w:rPr>
      </w:pPr>
      <w:r>
        <w:rPr>
          <w:bCs/>
          <w:position w:val="-13"/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2609850" cy="352425"/>
                <wp:effectExtent l="0" t="0" r="0" b="9525"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8"/>
                        <a:stretch/>
                      </pic:blipFill>
                      <pic:spPr bwMode="auto">
                        <a:xfrm>
                          <a:off x="0" y="0"/>
                          <a:ext cx="2609850" cy="352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205.50pt;height:27.75pt;mso-wrap-distance-left:0.00pt;mso-wrap-distance-top:0.00pt;mso-wrap-distance-right:0.00pt;mso-wrap-distance-bottom:0.00pt;" stroked="f">
                <v:path textboxrect="0,0,0,0"/>
                <v:imagedata r:id="rId8" o:title=""/>
              </v:shape>
            </w:pict>
          </mc:Fallback>
        </mc:AlternateContent>
      </w:r>
      <w:r>
        <w:rPr>
          <w:bCs/>
        </w:rPr>
      </w:r>
      <w:r>
        <w:rPr>
          <w:bCs/>
        </w:rPr>
      </w:r>
    </w:p>
    <w:p>
      <w:pPr>
        <w:ind w:firstLine="540"/>
        <w:jc w:val="both"/>
        <w:rPr>
          <w:bCs/>
        </w:rPr>
      </w:pPr>
      <w:r>
        <w:rPr>
          <w:bCs/>
        </w:rPr>
      </w:r>
      <w:r>
        <w:rPr>
          <w:bCs/>
        </w:rPr>
      </w:r>
      <w:r>
        <w:rPr>
          <w:bCs/>
        </w:rPr>
      </w:r>
    </w:p>
    <w:p>
      <w:pPr>
        <w:ind w:firstLine="540"/>
        <w:jc w:val="both"/>
        <w:rPr>
          <w:bCs/>
        </w:rPr>
      </w:pPr>
      <w:r>
        <w:rPr>
          <w:bCs/>
        </w:rPr>
        <w:t xml:space="preserve">где:</w:t>
      </w:r>
      <w:r>
        <w:rPr>
          <w:bCs/>
        </w:rPr>
      </w:r>
      <w:r>
        <w:rPr>
          <w:bCs/>
        </w:rPr>
      </w:r>
    </w:p>
    <w:p>
      <w:pPr>
        <w:ind w:firstLine="540"/>
        <w:jc w:val="both"/>
        <w:rPr>
          <w:bCs/>
        </w:rPr>
      </w:pPr>
      <w:r>
        <w:rPr>
          <w:bCs/>
        </w:rPr>
        <w:t xml:space="preserve">С</w:t>
      </w:r>
      <w:r>
        <w:rPr>
          <w:bCs/>
          <w:vertAlign w:val="subscript"/>
        </w:rPr>
        <w:t xml:space="preserve">pi</w:t>
      </w:r>
      <w:r>
        <w:rPr>
          <w:bCs/>
        </w:rPr>
        <w:t xml:space="preserve"> - объем субсидий бюджету i-того муниципального образования Новосибирской области;</w:t>
      </w:r>
      <w:r>
        <w:rPr>
          <w:bCs/>
        </w:rPr>
      </w:r>
      <w:r>
        <w:rPr>
          <w:bCs/>
        </w:rPr>
      </w:r>
    </w:p>
    <w:p>
      <w:pPr>
        <w:ind w:firstLine="540"/>
        <w:jc w:val="both"/>
        <w:rPr>
          <w:bCs/>
        </w:rPr>
      </w:pPr>
      <w:r>
        <w:rPr>
          <w:bCs/>
        </w:rPr>
        <w:t xml:space="preserve">СВ - объем субсидий за счет средств областного бюджета Новосибирской области, необходимый для строительства </w:t>
      </w:r>
      <w:r>
        <w:rPr>
          <w:bCs/>
        </w:rPr>
        <w:t xml:space="preserve">(приобретения)</w:t>
      </w:r>
      <w:r>
        <w:rPr>
          <w:bCs/>
        </w:rPr>
        <w:t xml:space="preserve"> </w:t>
      </w:r>
      <w:r>
        <w:rPr>
          <w:bCs/>
        </w:rPr>
        <w:t xml:space="preserve">жилья участнику мероприятий, проживающему на сельских территориях i-того муниципального образования Новосибирской области, определяемый согласно сводному списку участников мероприятий на очередной финансовы</w:t>
      </w:r>
      <w:r>
        <w:rPr>
          <w:bCs/>
        </w:rPr>
        <w:t xml:space="preserve">й год (далее - сводный список);</w:t>
      </w:r>
      <w:r>
        <w:rPr>
          <w:bCs/>
        </w:rPr>
      </w:r>
      <w:r>
        <w:rPr>
          <w:bCs/>
        </w:rPr>
      </w:r>
    </w:p>
    <w:p>
      <w:pPr>
        <w:ind w:firstLine="540"/>
        <w:jc w:val="both"/>
        <w:rPr>
          <w:bCs/>
        </w:rPr>
      </w:pPr>
      <w:r>
        <w:rPr>
          <w:bCs/>
        </w:rPr>
        <w:t xml:space="preserve">1, 2, ... n - порядковый номер участника мероприятий в отчетном году в сводном списке.</w:t>
      </w:r>
      <w:r>
        <w:rPr>
          <w:bCs/>
        </w:rPr>
      </w:r>
      <w:r>
        <w:rPr>
          <w:bCs/>
        </w:rPr>
      </w:r>
    </w:p>
    <w:p>
      <w:pPr>
        <w:ind w:firstLine="540"/>
        <w:jc w:val="both"/>
        <w:rPr>
          <w:bCs/>
        </w:rPr>
      </w:pPr>
      <w:r>
        <w:rPr>
          <w:bCs/>
        </w:rPr>
        <w:t xml:space="preserve">2. </w:t>
      </w:r>
      <w:r>
        <w:rPr>
          <w:bCs/>
        </w:rPr>
        <w:t xml:space="preserve">Объем субсидии, необходимый для строительства</w:t>
      </w:r>
      <w:r>
        <w:t xml:space="preserve"> </w:t>
      </w:r>
      <w:r>
        <w:rPr>
          <w:bCs/>
        </w:rPr>
        <w:t xml:space="preserve">(приобретения)</w:t>
      </w:r>
      <w:r>
        <w:rPr>
          <w:bCs/>
        </w:rPr>
        <w:t xml:space="preserve"> жилья участнику мероприятий, определяется по следующей формуле:</w:t>
      </w:r>
      <w:r>
        <w:rPr>
          <w:bCs/>
        </w:rPr>
      </w:r>
      <w:r>
        <w:rPr>
          <w:bCs/>
        </w:rPr>
      </w:r>
    </w:p>
    <w:p>
      <w:pPr>
        <w:ind w:firstLine="540"/>
        <w:jc w:val="both"/>
        <w:rPr>
          <w:bCs/>
        </w:rPr>
      </w:pPr>
      <w:r>
        <w:rPr>
          <w:bCs/>
        </w:rPr>
      </w:r>
      <w:r>
        <w:rPr>
          <w:bCs/>
        </w:rPr>
      </w:r>
      <w:r>
        <w:rPr>
          <w:bCs/>
        </w:rPr>
      </w:r>
    </w:p>
    <w:p>
      <w:pPr>
        <w:jc w:val="center"/>
        <w:rPr>
          <w:bCs/>
        </w:rPr>
      </w:pPr>
      <w:r>
        <w:rPr>
          <w:bCs/>
        </w:rPr>
        <w:t xml:space="preserve">СВ = </w:t>
      </w:r>
      <w:r>
        <w:rPr>
          <w:bCs/>
        </w:rPr>
        <w:t xml:space="preserve">П</w:t>
      </w:r>
      <w:r>
        <w:rPr>
          <w:bCs/>
          <w:vertAlign w:val="subscript"/>
        </w:rPr>
        <w:t xml:space="preserve">р</w:t>
      </w:r>
      <w:r>
        <w:rPr>
          <w:bCs/>
        </w:rPr>
        <w:t xml:space="preserve"> x </w:t>
      </w:r>
      <w:r>
        <w:rPr>
          <w:bCs/>
        </w:rPr>
        <w:t xml:space="preserve">М</w:t>
      </w:r>
      <w:r>
        <w:rPr>
          <w:bCs/>
          <w:vertAlign w:val="subscript"/>
        </w:rPr>
        <w:t xml:space="preserve">р</w:t>
      </w:r>
      <w:r>
        <w:rPr>
          <w:bCs/>
        </w:rPr>
        <w:t xml:space="preserve"> x </w:t>
      </w:r>
      <w:r>
        <w:rPr>
          <w:bCs/>
        </w:rPr>
        <w:t xml:space="preserve">Д</w:t>
      </w:r>
      <w:r>
        <w:rPr>
          <w:bCs/>
          <w:vertAlign w:val="subscript"/>
        </w:rPr>
        <w:t xml:space="preserve">об</w:t>
      </w:r>
      <w:r>
        <w:rPr>
          <w:bCs/>
        </w:rPr>
        <w:t xml:space="preserve">,</w:t>
      </w:r>
      <w:r>
        <w:rPr>
          <w:bCs/>
        </w:rPr>
      </w:r>
      <w:r>
        <w:rPr>
          <w:bCs/>
        </w:rPr>
      </w:r>
    </w:p>
    <w:p>
      <w:pPr>
        <w:ind w:firstLine="540"/>
        <w:jc w:val="both"/>
        <w:rPr>
          <w:bCs/>
        </w:rPr>
      </w:pPr>
      <w:r>
        <w:rPr>
          <w:bCs/>
        </w:rPr>
      </w:r>
      <w:r>
        <w:rPr>
          <w:bCs/>
        </w:rPr>
      </w:r>
      <w:r>
        <w:rPr>
          <w:bCs/>
        </w:rPr>
      </w:r>
    </w:p>
    <w:p>
      <w:pPr>
        <w:ind w:firstLine="540"/>
        <w:jc w:val="both"/>
        <w:rPr>
          <w:bCs/>
        </w:rPr>
      </w:pPr>
      <w:r>
        <w:rPr>
          <w:bCs/>
        </w:rPr>
        <w:t xml:space="preserve">где:</w:t>
      </w:r>
      <w:r>
        <w:rPr>
          <w:bCs/>
        </w:rPr>
      </w:r>
      <w:r>
        <w:rPr>
          <w:bCs/>
        </w:rPr>
      </w:r>
    </w:p>
    <w:p>
      <w:pPr>
        <w:ind w:firstLine="540"/>
        <w:jc w:val="both"/>
        <w:rPr>
          <w:bCs/>
        </w:rPr>
      </w:pPr>
      <w:r>
        <w:rPr>
          <w:bCs/>
        </w:rPr>
        <w:t xml:space="preserve">Пр</w:t>
      </w:r>
      <w:r>
        <w:rPr>
          <w:bCs/>
        </w:rPr>
        <w:t xml:space="preserve"> - общая площадь жилого помещения, установленная для участников мероприятий - семей разной численности (33 кв. метра - для одиноко проживающих граждан, 42 кв. метра - на семью из 2 человек и по 18 кв. метров</w:t>
      </w:r>
      <w:r>
        <w:rPr>
          <w:bCs/>
        </w:rPr>
        <w:t xml:space="preserve"> на каждого члена семьи при численности семьи, состоящей из 3 человек и более, за исключением расчетной стоимости строительства (приобретения) индивидуального жилого дома, для которого устанавливается исходя из размера общей площади жилого помещения, устан</w:t>
      </w:r>
      <w:r>
        <w:rPr>
          <w:bCs/>
        </w:rPr>
        <w:t xml:space="preserve">овленного для семей разной численности (54 кв. метра - для одиноких граждан или на семью из 2 или 3 человек либо по 18 кв. метров на каждого члена семьи при численности семьи, состоящей из 4 человек и более), в случае если общая площадь строящегося (приобр</w:t>
      </w:r>
      <w:r>
        <w:rPr>
          <w:bCs/>
        </w:rPr>
        <w:t xml:space="preserve">етаемого) жилья меньше размера, установленного для семей разной численности, но больше учетной нормы площади жилья, установленной органом местного самоуправления муниципального образования Новосибирской области, в расчет берется фактическая площадь жилья);</w:t>
      </w:r>
      <w:r>
        <w:rPr>
          <w:bCs/>
        </w:rPr>
      </w:r>
      <w:r>
        <w:rPr>
          <w:bCs/>
        </w:rPr>
      </w:r>
    </w:p>
    <w:p>
      <w:pPr>
        <w:ind w:firstLine="540"/>
        <w:jc w:val="both"/>
        <w:rPr>
          <w:bCs/>
        </w:rPr>
      </w:pPr>
      <w:r>
        <w:rPr>
          <w:bCs/>
        </w:rPr>
        <w:t xml:space="preserve">Мр</w:t>
      </w:r>
      <w:r>
        <w:rPr>
          <w:bCs/>
        </w:rPr>
        <w:t xml:space="preserve"> - стоимость 1 кв. метра общей площади жилья в сельской местности на территор</w:t>
      </w:r>
      <w:r>
        <w:rPr>
          <w:bCs/>
        </w:rPr>
        <w:t xml:space="preserve">ии Новосибирской области, утвержденная приказом министерства на очередной финансовый год, определяется исходя из утвержденной стоимости строительства (приобретения) жилья министерством в рамках государственной программы за предыдущий год с учетом инфляции,</w:t>
      </w:r>
      <w:r>
        <w:rPr>
          <w:bCs/>
        </w:rPr>
        <w:t xml:space="preserve"> но не превышающей средней рыночной стоимости 1 кв. метра общей площади жилья по Новосибирской области, определяемой Министерством строительства и жилищно-коммунального хозяйства Российской Федерации на IV квартал года, предшествующего году предоставления </w:t>
      </w:r>
      <w:r>
        <w:rPr>
          <w:bCs/>
        </w:rPr>
        <w:t xml:space="preserve">субсидии, в случае если фактическая стоимость 1 кв. метра общей площади строящегося (приобретаемого) жилья меньше стоимости 1 кв. метра общей площади жилья, определенной министерством, в расчет берется фактическая стоимость 1 кв. метра общей площади жилья;</w:t>
      </w:r>
      <w:r>
        <w:rPr>
          <w:bCs/>
        </w:rPr>
      </w:r>
      <w:r>
        <w:rPr>
          <w:bCs/>
        </w:rPr>
      </w:r>
    </w:p>
    <w:p>
      <w:pPr>
        <w:ind w:firstLine="540"/>
        <w:jc w:val="both"/>
        <w:shd w:val="clear" w:color="ffffff" w:themeColor="background1" w:fill="ffffff" w:themeFill="background1"/>
        <w:rPr>
          <w:bCs/>
          <w:highlight w:val="white"/>
        </w:rPr>
      </w:pPr>
      <w:r>
        <w:rPr>
          <w:bCs/>
        </w:rPr>
        <w:t xml:space="preserve">Доб</w:t>
      </w:r>
      <w:r>
        <w:rPr>
          <w:bCs/>
        </w:rPr>
        <w:t xml:space="preserve"> - доля средств областного бюджета Новосибирской области (включая средства, источни</w:t>
      </w:r>
      <w:r>
        <w:rPr>
          <w:bCs/>
        </w:rPr>
        <w:t xml:space="preserve">ком финансового обеспечения которых являются субсидии из федерального бюджета), направляемых на оказание финансовой поддержки при исполнении расходных обязательств муниципальных образований по строительству (приобретению) жилья, предоставляемого гражданам </w:t>
      </w:r>
      <w:r>
        <w:rPr>
          <w:bCs/>
        </w:rPr>
        <w:t xml:space="preserve">Российской Федерации, проживающим на сельских территориях Новосибирской области, по договору найма жилого помещения в расчетном году, в процентах от расчетной стоимости строительства (приобретения) жилья</w:t>
      </w:r>
      <w:r>
        <w:rPr>
          <w:bCs/>
          <w:highlight w:val="white"/>
        </w:rPr>
        <w:t xml:space="preserve">, </w:t>
      </w:r>
      <w:r>
        <w:rPr>
          <w:bCs/>
          <w:highlight w:val="white"/>
        </w:rPr>
        <w:t xml:space="preserve">определяемой как объем средств, необходимых на исполнение </w:t>
      </w:r>
      <w:r>
        <w:rPr>
          <w:bCs/>
          <w:highlight w:val="white"/>
        </w:rPr>
        <w:t xml:space="preserve">обязательств органов местного самоуправления муниципальных образований Новосибирской области по достижению значений результата использования субсидии, которые должны соответствовать значениям показателей муниципальных программ</w:t>
      </w:r>
      <w:r>
        <w:rPr>
          <w:bCs/>
          <w:highlight w:val="white"/>
        </w:rPr>
        <w:t xml:space="preserve">.</w:t>
      </w:r>
      <w:r>
        <w:rPr>
          <w:bCs/>
          <w:highlight w:val="white"/>
        </w:rPr>
      </w:r>
      <w:r>
        <w:rPr>
          <w:bCs/>
          <w:highlight w:val="white"/>
        </w:rPr>
      </w:r>
    </w:p>
    <w:p>
      <w:pPr>
        <w:ind w:firstLine="851"/>
        <w:jc w:val="both"/>
      </w:pPr>
      <w:r/>
      <w:r/>
    </w:p>
    <w:p>
      <w:pPr>
        <w:ind w:firstLine="851"/>
        <w:jc w:val="both"/>
      </w:pPr>
      <w:r/>
      <w:r/>
    </w:p>
    <w:p>
      <w:pPr>
        <w:ind w:firstLine="851"/>
        <w:jc w:val="both"/>
      </w:pPr>
      <w:r/>
      <w:r/>
    </w:p>
    <w:p>
      <w:pPr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Заместитель Председателя Правительства </w:t>
      </w:r>
      <w:r>
        <w:rPr>
          <w:rFonts w:eastAsia="Times New Roman"/>
          <w:lang w:eastAsia="ru-RU"/>
        </w:rPr>
      </w:r>
      <w:r>
        <w:rPr>
          <w:rFonts w:eastAsia="Times New Roman"/>
          <w:lang w:eastAsia="ru-RU"/>
        </w:rPr>
      </w:r>
    </w:p>
    <w:p>
      <w:pPr>
        <w:jc w:val="both"/>
      </w:pPr>
      <w:r>
        <w:rPr>
          <w:rFonts w:eastAsia="Times New Roman"/>
          <w:lang w:eastAsia="ru-RU"/>
        </w:rPr>
        <w:t xml:space="preserve">Новосибирской области – министр</w:t>
      </w:r>
      <w:r>
        <w:rPr>
          <w:rFonts w:eastAsia="Times New Roman"/>
          <w:lang w:eastAsia="ru-RU"/>
        </w:rPr>
        <w:tab/>
      </w:r>
      <w:r>
        <w:rPr>
          <w:rFonts w:eastAsia="Times New Roman"/>
          <w:lang w:eastAsia="ru-RU"/>
        </w:rPr>
        <w:tab/>
      </w:r>
      <w:r>
        <w:rPr>
          <w:rFonts w:eastAsia="Times New Roman"/>
          <w:lang w:eastAsia="ru-RU"/>
        </w:rPr>
        <w:tab/>
      </w:r>
      <w:r>
        <w:rPr>
          <w:rFonts w:eastAsia="Times New Roman"/>
          <w:lang w:eastAsia="ru-RU"/>
        </w:rPr>
        <w:tab/>
      </w:r>
      <w:r>
        <w:rPr>
          <w:rFonts w:eastAsia="Times New Roman"/>
          <w:lang w:eastAsia="ru-RU"/>
        </w:rPr>
        <w:tab/>
      </w:r>
      <w:r>
        <w:rPr>
          <w:rFonts w:eastAsia="Times New Roman"/>
          <w:lang w:eastAsia="ru-RU"/>
        </w:rPr>
        <w:tab/>
        <w:t xml:space="preserve">   </w:t>
      </w:r>
      <w:r>
        <w:rPr>
          <w:rFonts w:eastAsia="Times New Roman"/>
          <w:lang w:eastAsia="ru-RU"/>
        </w:rPr>
        <w:t xml:space="preserve">А.В. Шинделов</w:t>
      </w:r>
      <w:r/>
    </w:p>
    <w:p>
      <w:pPr>
        <w:jc w:val="both"/>
      </w:pPr>
      <w:r/>
      <w:r/>
    </w:p>
    <w:sectPr>
      <w:footnotePr/>
      <w:endnotePr/>
      <w:type w:val="nextPage"/>
      <w:pgSz w:w="11906" w:h="16838" w:orient="portrait"/>
      <w:pgMar w:top="1134" w:right="567" w:bottom="1134" w:left="1418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cs="Times New Roman" w:eastAsiaTheme="minorHAnsi"/>
        <w:sz w:val="28"/>
        <w:szCs w:val="28"/>
        <w:lang w:val="ru-RU" w:eastAsia="en-US" w:bidi="ar-SA"/>
      </w:rPr>
    </w:rPrDefault>
    <w:pPrDefault>
      <w:pPr>
        <w:ind w:left="0" w:right="0"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2"/>
    <w:next w:val="832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basedOn w:val="833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2"/>
    <w:next w:val="832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basedOn w:val="833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2"/>
    <w:next w:val="832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basedOn w:val="833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2"/>
    <w:next w:val="832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basedOn w:val="833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2"/>
    <w:next w:val="832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basedOn w:val="833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2"/>
    <w:next w:val="832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basedOn w:val="833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2"/>
    <w:next w:val="832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basedOn w:val="833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2"/>
    <w:next w:val="832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basedOn w:val="833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2"/>
    <w:next w:val="832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basedOn w:val="833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2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2"/>
    <w:next w:val="832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basedOn w:val="833"/>
    <w:link w:val="674"/>
    <w:uiPriority w:val="10"/>
    <w:rPr>
      <w:sz w:val="48"/>
      <w:szCs w:val="48"/>
    </w:rPr>
  </w:style>
  <w:style w:type="paragraph" w:styleId="676">
    <w:name w:val="Subtitle"/>
    <w:basedOn w:val="832"/>
    <w:next w:val="832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basedOn w:val="833"/>
    <w:link w:val="676"/>
    <w:uiPriority w:val="11"/>
    <w:rPr>
      <w:sz w:val="24"/>
      <w:szCs w:val="24"/>
    </w:rPr>
  </w:style>
  <w:style w:type="paragraph" w:styleId="678">
    <w:name w:val="Quote"/>
    <w:basedOn w:val="832"/>
    <w:next w:val="832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2"/>
    <w:next w:val="832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2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basedOn w:val="833"/>
    <w:link w:val="682"/>
    <w:uiPriority w:val="99"/>
  </w:style>
  <w:style w:type="paragraph" w:styleId="684">
    <w:name w:val="Footer"/>
    <w:basedOn w:val="832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basedOn w:val="833"/>
    <w:link w:val="684"/>
    <w:uiPriority w:val="99"/>
  </w:style>
  <w:style w:type="paragraph" w:styleId="686">
    <w:name w:val="Caption"/>
    <w:basedOn w:val="832"/>
    <w:next w:val="83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684"/>
    <w:uiPriority w:val="99"/>
  </w:style>
  <w:style w:type="table" w:styleId="688">
    <w:name w:val="Table Grid"/>
    <w:basedOn w:val="834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Table Grid Light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>
    <w:name w:val="Plain Table 1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2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3">
    <w:name w:val="Plain Table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Plain Table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5">
    <w:name w:val="Grid Table 1 Light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4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7">
    <w:name w:val="Grid Table 4 - Accent 1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8">
    <w:name w:val="Grid Table 4 - Accent 2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9">
    <w:name w:val="Grid Table 4 - Accent 3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0">
    <w:name w:val="Grid Table 4 - Accent 4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1">
    <w:name w:val="Grid Table 4 - Accent 5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2">
    <w:name w:val="Grid Table 4 - Accent 6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3">
    <w:name w:val="Grid Table 5 Dark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4">
    <w:name w:val="Grid Table 5 Dark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7">
    <w:name w:val="Grid Table 5 Dark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30">
    <w:name w:val="Grid Table 6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1">
    <w:name w:val="Grid Table 6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2">
    <w:name w:val="Grid Table 6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3">
    <w:name w:val="Grid Table 6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4">
    <w:name w:val="Grid Table 6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5">
    <w:name w:val="Grid Table 6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6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7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2">
    <w:name w:val="List Table 2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3">
    <w:name w:val="List Table 2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4">
    <w:name w:val="List Table 2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5">
    <w:name w:val="List Table 2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6">
    <w:name w:val="List Table 2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7">
    <w:name w:val="List Table 2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8">
    <w:name w:val="List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5 Dark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6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0">
    <w:name w:val="List Table 6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1">
    <w:name w:val="List Table 6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2">
    <w:name w:val="List Table 6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3">
    <w:name w:val="List Table 6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4">
    <w:name w:val="List Table 6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5">
    <w:name w:val="List Table 6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6">
    <w:name w:val="List Table 7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7">
    <w:name w:val="List Table 7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88">
    <w:name w:val="List Table 7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9">
    <w:name w:val="List Table 7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90">
    <w:name w:val="List Table 7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1">
    <w:name w:val="List Table 7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2">
    <w:name w:val="List Table 7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3">
    <w:name w:val="Lined - Accent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4">
    <w:name w:val="Lined - Accent 1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5">
    <w:name w:val="Lined - Accent 2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6">
    <w:name w:val="Lined - Accent 3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7">
    <w:name w:val="Lined - Accent 4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8">
    <w:name w:val="Lined - Accent 5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9">
    <w:name w:val="Lined - Accent 6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0">
    <w:name w:val="Bordered &amp; Lined - Accent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1">
    <w:name w:val="Bordered &amp; Lined - Accent 1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2">
    <w:name w:val="Bordered &amp; Lined - Accent 2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3">
    <w:name w:val="Bordered &amp; Lined - Accent 3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4">
    <w:name w:val="Bordered &amp; Lined - Accent 4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5">
    <w:name w:val="Bordered &amp; Lined - Accent 5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6">
    <w:name w:val="Bordered &amp; Lined - Accent 6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7">
    <w:name w:val="Bordered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8">
    <w:name w:val="Bordered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9">
    <w:name w:val="Bordered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0">
    <w:name w:val="Bordered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1">
    <w:name w:val="Bordered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2">
    <w:name w:val="Bordered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3">
    <w:name w:val="Bordered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4">
    <w:name w:val="Hyperlink"/>
    <w:uiPriority w:val="99"/>
    <w:unhideWhenUsed/>
    <w:rPr>
      <w:color w:val="0000ff" w:themeColor="hyperlink"/>
      <w:u w:val="single"/>
    </w:rPr>
  </w:style>
  <w:style w:type="paragraph" w:styleId="815">
    <w:name w:val="footnote text"/>
    <w:basedOn w:val="832"/>
    <w:link w:val="816"/>
    <w:uiPriority w:val="99"/>
    <w:semiHidden/>
    <w:unhideWhenUsed/>
    <w:pPr>
      <w:spacing w:after="40" w:line="240" w:lineRule="auto"/>
    </w:pPr>
    <w:rPr>
      <w:sz w:val="18"/>
    </w:rPr>
  </w:style>
  <w:style w:type="character" w:styleId="816">
    <w:name w:val="Footnote Text Char"/>
    <w:link w:val="815"/>
    <w:uiPriority w:val="99"/>
    <w:rPr>
      <w:sz w:val="18"/>
    </w:rPr>
  </w:style>
  <w:style w:type="character" w:styleId="817">
    <w:name w:val="footnote reference"/>
    <w:basedOn w:val="833"/>
    <w:uiPriority w:val="99"/>
    <w:unhideWhenUsed/>
    <w:rPr>
      <w:vertAlign w:val="superscript"/>
    </w:rPr>
  </w:style>
  <w:style w:type="paragraph" w:styleId="818">
    <w:name w:val="endnote text"/>
    <w:basedOn w:val="832"/>
    <w:link w:val="819"/>
    <w:uiPriority w:val="99"/>
    <w:semiHidden/>
    <w:unhideWhenUsed/>
    <w:pPr>
      <w:spacing w:after="0" w:line="240" w:lineRule="auto"/>
    </w:pPr>
    <w:rPr>
      <w:sz w:val="20"/>
    </w:rPr>
  </w:style>
  <w:style w:type="character" w:styleId="819">
    <w:name w:val="Endnote Text Char"/>
    <w:link w:val="818"/>
    <w:uiPriority w:val="99"/>
    <w:rPr>
      <w:sz w:val="20"/>
    </w:rPr>
  </w:style>
  <w:style w:type="character" w:styleId="820">
    <w:name w:val="endnote reference"/>
    <w:basedOn w:val="833"/>
    <w:uiPriority w:val="99"/>
    <w:semiHidden/>
    <w:unhideWhenUsed/>
    <w:rPr>
      <w:vertAlign w:val="superscript"/>
    </w:rPr>
  </w:style>
  <w:style w:type="paragraph" w:styleId="821">
    <w:name w:val="toc 1"/>
    <w:basedOn w:val="832"/>
    <w:next w:val="832"/>
    <w:uiPriority w:val="39"/>
    <w:unhideWhenUsed/>
    <w:pPr>
      <w:ind w:left="0" w:right="0" w:firstLine="0"/>
      <w:spacing w:after="57"/>
    </w:pPr>
  </w:style>
  <w:style w:type="paragraph" w:styleId="822">
    <w:name w:val="toc 2"/>
    <w:basedOn w:val="832"/>
    <w:next w:val="832"/>
    <w:uiPriority w:val="39"/>
    <w:unhideWhenUsed/>
    <w:pPr>
      <w:ind w:left="283" w:right="0" w:firstLine="0"/>
      <w:spacing w:after="57"/>
    </w:pPr>
  </w:style>
  <w:style w:type="paragraph" w:styleId="823">
    <w:name w:val="toc 3"/>
    <w:basedOn w:val="832"/>
    <w:next w:val="832"/>
    <w:uiPriority w:val="39"/>
    <w:unhideWhenUsed/>
    <w:pPr>
      <w:ind w:left="567" w:right="0" w:firstLine="0"/>
      <w:spacing w:after="57"/>
    </w:pPr>
  </w:style>
  <w:style w:type="paragraph" w:styleId="824">
    <w:name w:val="toc 4"/>
    <w:basedOn w:val="832"/>
    <w:next w:val="832"/>
    <w:uiPriority w:val="39"/>
    <w:unhideWhenUsed/>
    <w:pPr>
      <w:ind w:left="850" w:right="0" w:firstLine="0"/>
      <w:spacing w:after="57"/>
    </w:pPr>
  </w:style>
  <w:style w:type="paragraph" w:styleId="825">
    <w:name w:val="toc 5"/>
    <w:basedOn w:val="832"/>
    <w:next w:val="832"/>
    <w:uiPriority w:val="39"/>
    <w:unhideWhenUsed/>
    <w:pPr>
      <w:ind w:left="1134" w:right="0" w:firstLine="0"/>
      <w:spacing w:after="57"/>
    </w:pPr>
  </w:style>
  <w:style w:type="paragraph" w:styleId="826">
    <w:name w:val="toc 6"/>
    <w:basedOn w:val="832"/>
    <w:next w:val="832"/>
    <w:uiPriority w:val="39"/>
    <w:unhideWhenUsed/>
    <w:pPr>
      <w:ind w:left="1417" w:right="0" w:firstLine="0"/>
      <w:spacing w:after="57"/>
    </w:pPr>
  </w:style>
  <w:style w:type="paragraph" w:styleId="827">
    <w:name w:val="toc 7"/>
    <w:basedOn w:val="832"/>
    <w:next w:val="832"/>
    <w:uiPriority w:val="39"/>
    <w:unhideWhenUsed/>
    <w:pPr>
      <w:ind w:left="1701" w:right="0" w:firstLine="0"/>
      <w:spacing w:after="57"/>
    </w:pPr>
  </w:style>
  <w:style w:type="paragraph" w:styleId="828">
    <w:name w:val="toc 8"/>
    <w:basedOn w:val="832"/>
    <w:next w:val="832"/>
    <w:uiPriority w:val="39"/>
    <w:unhideWhenUsed/>
    <w:pPr>
      <w:ind w:left="1984" w:right="0" w:firstLine="0"/>
      <w:spacing w:after="57"/>
    </w:pPr>
  </w:style>
  <w:style w:type="paragraph" w:styleId="829">
    <w:name w:val="toc 9"/>
    <w:basedOn w:val="832"/>
    <w:next w:val="832"/>
    <w:uiPriority w:val="39"/>
    <w:unhideWhenUsed/>
    <w:pPr>
      <w:ind w:left="2268" w:right="0" w:firstLine="0"/>
      <w:spacing w:after="57"/>
    </w:pPr>
  </w:style>
  <w:style w:type="paragraph" w:styleId="830">
    <w:name w:val="TOC Heading"/>
    <w:uiPriority w:val="39"/>
    <w:unhideWhenUsed/>
  </w:style>
  <w:style w:type="paragraph" w:styleId="831">
    <w:name w:val="table of figures"/>
    <w:basedOn w:val="832"/>
    <w:next w:val="832"/>
    <w:uiPriority w:val="99"/>
    <w:unhideWhenUsed/>
    <w:pPr>
      <w:spacing w:after="0" w:afterAutospacing="0"/>
    </w:pPr>
  </w:style>
  <w:style w:type="paragraph" w:styleId="832" w:default="1">
    <w:name w:val="Normal"/>
    <w:qFormat/>
    <w:pPr>
      <w:ind w:firstLine="0"/>
      <w:jc w:val="left"/>
    </w:pPr>
  </w:style>
  <w:style w:type="character" w:styleId="833" w:default="1">
    <w:name w:val="Default Paragraph Font"/>
    <w:uiPriority w:val="1"/>
    <w:semiHidden/>
    <w:unhideWhenUsed/>
  </w:style>
  <w:style w:type="table" w:styleId="83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5" w:default="1">
    <w:name w:val="No List"/>
    <w:uiPriority w:val="99"/>
    <w:semiHidden/>
    <w:unhideWhenUsed/>
  </w:style>
  <w:style w:type="paragraph" w:styleId="836">
    <w:name w:val="Balloon Text"/>
    <w:basedOn w:val="832"/>
    <w:link w:val="837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837" w:customStyle="1">
    <w:name w:val="Текст выноски Знак"/>
    <w:basedOn w:val="833"/>
    <w:link w:val="836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image" Target="media/image1.wmf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Р7-Офис/2024.1.3.422</Application>
  <Company>PNO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Рябухина Дарья Леонидовна</dc:creator>
  <cp:keywords/>
  <dc:description/>
  <cp:revision>6</cp:revision>
  <dcterms:created xsi:type="dcterms:W3CDTF">2024-10-18T07:49:00Z</dcterms:created>
  <dcterms:modified xsi:type="dcterms:W3CDTF">2025-10-19T03:53:16Z</dcterms:modified>
</cp:coreProperties>
</file>